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EA" w:rsidRPr="009733EA" w:rsidRDefault="009733EA" w:rsidP="009733EA">
      <w:pPr>
        <w:pStyle w:val="a3"/>
        <w:jc w:val="center"/>
        <w:rPr>
          <w:rFonts w:ascii="標楷體" w:eastAsia="標楷體" w:hAnsi="標楷體" w:cs="華康細黑體 Regular"/>
          <w:sz w:val="52"/>
          <w:szCs w:val="52"/>
        </w:rPr>
      </w:pPr>
      <w:r w:rsidRPr="009733EA">
        <w:rPr>
          <w:rFonts w:ascii="標楷體" w:eastAsia="標楷體" w:hAnsi="標楷體" w:cs="華康細黑體 Regular" w:hint="eastAsia"/>
          <w:sz w:val="52"/>
          <w:szCs w:val="52"/>
        </w:rPr>
        <w:t>2013年裙擺搖搖世界女子高球名人賽</w:t>
      </w:r>
    </w:p>
    <w:p w:rsidR="00F5152B" w:rsidRPr="009733EA" w:rsidRDefault="009733EA" w:rsidP="009733EA">
      <w:pPr>
        <w:pStyle w:val="a3"/>
        <w:jc w:val="center"/>
        <w:rPr>
          <w:rFonts w:ascii="標楷體" w:eastAsia="標楷體" w:hAnsi="標楷體" w:cs="華康細黑體 Regular"/>
          <w:sz w:val="52"/>
          <w:szCs w:val="52"/>
        </w:rPr>
      </w:pPr>
      <w:r w:rsidRPr="009733EA">
        <w:rPr>
          <w:rFonts w:ascii="標楷體" w:eastAsia="標楷體" w:hAnsi="標楷體" w:cs="華康細黑體 Regular" w:hint="eastAsia"/>
          <w:sz w:val="52"/>
          <w:szCs w:val="52"/>
        </w:rPr>
        <w:t>觀賽注意事項</w:t>
      </w:r>
    </w:p>
    <w:p w:rsidR="00F5152B" w:rsidRDefault="004164AF" w:rsidP="00F5152B">
      <w:pPr>
        <w:pStyle w:val="a3"/>
        <w:rPr>
          <w:rFonts w:ascii="標楷體" w:eastAsia="標楷體" w:hAnsi="標楷體" w:cs="華康黑體 Std W9"/>
          <w:spacing w:val="-7"/>
          <w:sz w:val="32"/>
          <w:szCs w:val="32"/>
        </w:rPr>
      </w:pPr>
      <w:r>
        <w:rPr>
          <w:rFonts w:ascii="標楷體" w:eastAsia="標楷體" w:hAnsi="標楷體" w:cs="華康黑體 Std W9" w:hint="eastAsia"/>
          <w:spacing w:val="-7"/>
          <w:sz w:val="32"/>
          <w:szCs w:val="32"/>
        </w:rPr>
        <w:t xml:space="preserve">         </w:t>
      </w:r>
      <w:r w:rsidR="00F5152B"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為讓比賽能順利進行，煩請</w:t>
      </w:r>
      <w:r w:rsid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帶隊</w:t>
      </w:r>
      <w:r w:rsidR="00F5152B"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到場的</w:t>
      </w:r>
      <w:r w:rsid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教師及學生</w:t>
      </w:r>
      <w:r w:rsidR="00F5152B"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能全力配合並遵守工作人員的指示</w:t>
      </w:r>
      <w:r>
        <w:rPr>
          <w:rFonts w:ascii="新細明體" w:eastAsia="新細明體" w:hAnsi="新細明體" w:cs="華康黑體 Std W9" w:hint="eastAsia"/>
          <w:spacing w:val="-7"/>
          <w:sz w:val="32"/>
          <w:szCs w:val="32"/>
        </w:rPr>
        <w:t>、</w:t>
      </w:r>
      <w:r>
        <w:rPr>
          <w:rFonts w:ascii="標楷體" w:eastAsia="標楷體" w:hAnsi="標楷體" w:cs="華康黑體 Std W9" w:hint="eastAsia"/>
          <w:spacing w:val="-7"/>
          <w:sz w:val="32"/>
          <w:szCs w:val="32"/>
        </w:rPr>
        <w:t>並請遵守下列規定：</w:t>
      </w:r>
    </w:p>
    <w:p w:rsidR="00F5152B" w:rsidRDefault="00F5152B" w:rsidP="009733EA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在比賽場地嚴禁手機、照相機及錄影機的攝影。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請勿攜帶寵物入場。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請勿進入圍</w:t>
      </w:r>
      <w:proofErr w:type="gramStart"/>
      <w:r w:rsidRPr="009733EA">
        <w:rPr>
          <w:rFonts w:ascii="標楷體" w:eastAsia="標楷體" w:hAnsi="標楷體" w:cs="華康黑體 Std W3" w:hint="eastAsia"/>
          <w:sz w:val="32"/>
          <w:szCs w:val="32"/>
        </w:rPr>
        <w:t>繩</w:t>
      </w:r>
      <w:proofErr w:type="gramEnd"/>
      <w:r w:rsidRPr="009733EA">
        <w:rPr>
          <w:rFonts w:ascii="標楷體" w:eastAsia="標楷體" w:hAnsi="標楷體" w:cs="華康黑體 Std W3" w:hint="eastAsia"/>
          <w:sz w:val="32"/>
          <w:szCs w:val="32"/>
        </w:rPr>
        <w:t>區域內。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不管任何狀況請勿</w:t>
      </w:r>
      <w:proofErr w:type="gramStart"/>
      <w:r w:rsidRPr="009733EA">
        <w:rPr>
          <w:rFonts w:ascii="標楷體" w:eastAsia="標楷體" w:hAnsi="標楷體" w:cs="華康黑體 Std W3" w:hint="eastAsia"/>
          <w:sz w:val="32"/>
          <w:szCs w:val="32"/>
        </w:rPr>
        <w:t>碰觸場內</w:t>
      </w:r>
      <w:proofErr w:type="gramEnd"/>
      <w:r w:rsidRPr="009733EA">
        <w:rPr>
          <w:rFonts w:ascii="標楷體" w:eastAsia="標楷體" w:hAnsi="標楷體" w:cs="華康黑體 Std W3" w:hint="eastAsia"/>
          <w:sz w:val="32"/>
          <w:szCs w:val="32"/>
        </w:rPr>
        <w:t>飛來的球。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請依照垃圾分類進行垃圾的丟棄。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proofErr w:type="gramStart"/>
      <w:r w:rsidRPr="009733EA">
        <w:rPr>
          <w:rFonts w:ascii="標楷體" w:eastAsia="標楷體" w:hAnsi="標楷體" w:cs="華康黑體 Std W3" w:hint="eastAsia"/>
          <w:sz w:val="32"/>
          <w:szCs w:val="32"/>
        </w:rPr>
        <w:t>請著</w:t>
      </w:r>
      <w:proofErr w:type="gramEnd"/>
      <w:r w:rsidRPr="009733EA">
        <w:rPr>
          <w:rFonts w:ascii="標楷體" w:eastAsia="標楷體" w:hAnsi="標楷體" w:cs="華康黑體 Std W3" w:hint="eastAsia"/>
          <w:sz w:val="32"/>
          <w:szCs w:val="32"/>
        </w:rPr>
        <w:t>高爾夫球鞋或運動鞋進行觀賽，嚴禁高跟鞋及拖鞋的入場。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選手在擊球時請保持</w:t>
      </w:r>
      <w:proofErr w:type="gramStart"/>
      <w:r w:rsidRPr="009733EA">
        <w:rPr>
          <w:rFonts w:ascii="標楷體" w:eastAsia="標楷體" w:hAnsi="標楷體" w:cs="華康黑體 Std W3" w:hint="eastAsia"/>
          <w:sz w:val="32"/>
          <w:szCs w:val="32"/>
        </w:rPr>
        <w:t>肅靜，</w:t>
      </w:r>
      <w:proofErr w:type="gramEnd"/>
      <w:r w:rsidRPr="009733EA">
        <w:rPr>
          <w:rFonts w:ascii="標楷體" w:eastAsia="標楷體" w:hAnsi="標楷體" w:cs="華康黑體 Std W3" w:hint="eastAsia"/>
          <w:sz w:val="32"/>
          <w:szCs w:val="32"/>
        </w:rPr>
        <w:t>如有幼童更需注意。</w:t>
      </w:r>
    </w:p>
    <w:p w:rsidR="00F5152B" w:rsidRDefault="00F5152B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為防止干擾選手擊球，請將手機轉為靜音模式。</w:t>
      </w:r>
    </w:p>
    <w:p w:rsidR="009733EA" w:rsidRDefault="00F5152B" w:rsidP="009733EA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球場會館為管制區域，賽會期間不開放予一般觀賽民眾進入。</w:t>
      </w:r>
    </w:p>
    <w:p w:rsidR="00F5152B" w:rsidRDefault="00F5152B" w:rsidP="009733EA">
      <w:pPr>
        <w:pStyle w:val="a3"/>
        <w:numPr>
          <w:ilvl w:val="0"/>
          <w:numId w:val="1"/>
        </w:numPr>
        <w:ind w:left="709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比賽於</w:t>
      </w:r>
      <w:r w:rsidRPr="009733EA">
        <w:rPr>
          <w:rFonts w:ascii="標楷體" w:eastAsia="標楷體" w:hAnsi="標楷體" w:cs="華康黑體 Std W3"/>
          <w:sz w:val="32"/>
          <w:szCs w:val="32"/>
        </w:rPr>
        <w:t>07:00</w:t>
      </w:r>
      <w:r w:rsidRPr="009733EA">
        <w:rPr>
          <w:rFonts w:ascii="標楷體" w:eastAsia="標楷體" w:hAnsi="標楷體" w:cs="華康黑體 Std W3" w:hint="eastAsia"/>
          <w:sz w:val="32"/>
          <w:szCs w:val="32"/>
        </w:rPr>
        <w:t>開放入場。（詳細開球時間請見當日開球分組表）</w:t>
      </w:r>
    </w:p>
    <w:p w:rsidR="00F5152B" w:rsidRDefault="00F5152B" w:rsidP="004164AF">
      <w:pPr>
        <w:pStyle w:val="a3"/>
        <w:numPr>
          <w:ilvl w:val="0"/>
          <w:numId w:val="1"/>
        </w:numPr>
        <w:ind w:left="709" w:rightChars="-118" w:right="-283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會場內不得發放傳單及進行任何有關商業、政治或宗教宣傳活動。</w:t>
      </w:r>
    </w:p>
    <w:p w:rsidR="00F5152B" w:rsidRDefault="00F5152B" w:rsidP="009733EA">
      <w:pPr>
        <w:pStyle w:val="a3"/>
        <w:numPr>
          <w:ilvl w:val="0"/>
          <w:numId w:val="1"/>
        </w:numPr>
        <w:ind w:left="709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違規</w:t>
      </w:r>
      <w:bookmarkStart w:id="0" w:name="_GoBack"/>
      <w:bookmarkEnd w:id="0"/>
      <w:r w:rsidRPr="009733EA">
        <w:rPr>
          <w:rFonts w:ascii="標楷體" w:eastAsia="標楷體" w:hAnsi="標楷體" w:cs="華康黑體 Std W3" w:hint="eastAsia"/>
          <w:sz w:val="32"/>
          <w:szCs w:val="32"/>
        </w:rPr>
        <w:t>行為經勸導無效者，為了維護其他觀眾的權益，主辦單位可能請您離場。</w:t>
      </w:r>
    </w:p>
    <w:p w:rsidR="00F5152B" w:rsidRDefault="00F5152B" w:rsidP="009733EA">
      <w:pPr>
        <w:pStyle w:val="a3"/>
        <w:numPr>
          <w:ilvl w:val="0"/>
          <w:numId w:val="1"/>
        </w:numPr>
        <w:ind w:left="709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球場停車場為提供一般民眾自小客車停放，採取車輛交通管制，大會備有接駁車及大眾停車場，請多加運用大眾運輸工具，詳細接駁資訊請上官網</w:t>
      </w:r>
      <w:r w:rsidRPr="009733EA">
        <w:rPr>
          <w:rFonts w:ascii="標楷體" w:eastAsia="標楷體" w:hAnsi="標楷體" w:cs="華康黑體 Std W3"/>
          <w:sz w:val="32"/>
          <w:szCs w:val="32"/>
        </w:rPr>
        <w:t xml:space="preserve"> www.sstlpga.com</w:t>
      </w:r>
      <w:r w:rsidRPr="009733EA">
        <w:rPr>
          <w:rFonts w:ascii="標楷體" w:eastAsia="標楷體" w:hAnsi="標楷體" w:cs="華康黑體 Std W3" w:hint="eastAsia"/>
          <w:sz w:val="32"/>
          <w:szCs w:val="32"/>
        </w:rPr>
        <w:t>查詢。</w:t>
      </w:r>
    </w:p>
    <w:p w:rsid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Pr="009733EA" w:rsidRDefault="009733EA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9733EA" w:rsidRDefault="009733EA" w:rsidP="009733EA">
      <w:pPr>
        <w:pStyle w:val="a3"/>
        <w:jc w:val="center"/>
        <w:rPr>
          <w:rFonts w:ascii="標楷體" w:eastAsia="標楷體" w:hAnsi="標楷體" w:cs="華康細黑體 Regular"/>
          <w:sz w:val="52"/>
          <w:szCs w:val="52"/>
        </w:rPr>
      </w:pPr>
      <w:r w:rsidRPr="009733EA">
        <w:rPr>
          <w:rFonts w:ascii="標楷體" w:eastAsia="標楷體" w:hAnsi="標楷體" w:cs="華康細黑體 Regular" w:hint="eastAsia"/>
          <w:sz w:val="52"/>
          <w:szCs w:val="52"/>
        </w:rPr>
        <w:lastRenderedPageBreak/>
        <w:t>2013年裙擺搖搖世界女子高球名人賽</w:t>
      </w:r>
    </w:p>
    <w:p w:rsidR="00B37015" w:rsidRPr="009733EA" w:rsidRDefault="00B37015" w:rsidP="009733EA">
      <w:pPr>
        <w:pStyle w:val="a3"/>
        <w:jc w:val="center"/>
        <w:rPr>
          <w:rFonts w:ascii="標楷體" w:eastAsia="標楷體" w:hAnsi="標楷體"/>
          <w:sz w:val="52"/>
          <w:szCs w:val="52"/>
        </w:rPr>
      </w:pPr>
      <w:r w:rsidRPr="009733EA">
        <w:rPr>
          <w:rFonts w:ascii="標楷體" w:eastAsia="標楷體" w:hAnsi="標楷體" w:cs="華康細黑體 Regular" w:hint="eastAsia"/>
          <w:sz w:val="52"/>
          <w:szCs w:val="52"/>
        </w:rPr>
        <w:t>交通及接駁資訊</w:t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9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9" w:hint="eastAsia"/>
          <w:sz w:val="32"/>
          <w:szCs w:val="32"/>
        </w:rPr>
        <w:t>交通接駁設置點</w:t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新北市板橋火車站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（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火車站一樓大廳北二門對面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）</w:t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3"/>
          <w:spacing w:val="-5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每</w:t>
      </w:r>
      <w:r w:rsidRPr="009733EA">
        <w:rPr>
          <w:rFonts w:ascii="標楷體" w:eastAsia="標楷體" w:hAnsi="標楷體" w:cs="華康黑體 Std W3"/>
          <w:spacing w:val="-5"/>
          <w:sz w:val="32"/>
          <w:szCs w:val="32"/>
        </w:rPr>
        <w:t>20~30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分鐘</w:t>
      </w:r>
      <w:proofErr w:type="gramStart"/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一</w:t>
      </w:r>
      <w:proofErr w:type="gramEnd"/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班車，</w:t>
      </w:r>
      <w:proofErr w:type="gramStart"/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接駁點無</w:t>
      </w:r>
      <w:proofErr w:type="gramEnd"/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大會專屬停車場，建議搭乘大眾運輸系統前往</w:t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9"/>
          <w:sz w:val="32"/>
          <w:szCs w:val="32"/>
        </w:rPr>
      </w:pPr>
      <w:r w:rsidRPr="009733EA">
        <w:rPr>
          <w:rFonts w:ascii="標楷體" w:eastAsia="標楷體" w:hAnsi="標楷體" w:cs="Calibri"/>
          <w:noProof/>
          <w:spacing w:val="-5"/>
          <w:sz w:val="32"/>
          <w:szCs w:val="32"/>
          <w:lang w:val="en-US"/>
        </w:rPr>
        <w:drawing>
          <wp:inline distT="0" distB="0" distL="0" distR="0" wp14:anchorId="3053AB00" wp14:editId="14D3E835">
            <wp:extent cx="6197600" cy="5294828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資訊圖_接駁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345" cy="529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9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9" w:hint="eastAsia"/>
          <w:sz w:val="32"/>
          <w:szCs w:val="32"/>
        </w:rPr>
        <w:t>停車場接駁</w:t>
      </w:r>
      <w:r w:rsidRPr="009733EA">
        <w:rPr>
          <w:rFonts w:ascii="標楷體" w:eastAsia="標楷體" w:hAnsi="標楷體" w:cs="Calibri"/>
          <w:b/>
          <w:bCs/>
          <w:spacing w:val="-6"/>
          <w:sz w:val="32"/>
          <w:szCs w:val="32"/>
          <w:lang w:val="en-US"/>
        </w:rPr>
        <w:t>Parking Area Shuttle</w:t>
      </w:r>
      <w:r w:rsidRPr="009733EA">
        <w:rPr>
          <w:rFonts w:ascii="標楷體" w:eastAsia="標楷體" w:hAnsi="標楷體" w:cs="華康黑體 Std W9" w:hint="eastAsia"/>
          <w:sz w:val="32"/>
          <w:szCs w:val="32"/>
          <w:lang w:val="en-US"/>
        </w:rPr>
        <w:t>：</w:t>
      </w:r>
    </w:p>
    <w:p w:rsidR="00B37015" w:rsidRPr="009733EA" w:rsidRDefault="00B37015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  <w:t>P3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停車場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（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林口文化一路四維路口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）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與</w:t>
      </w:r>
      <w:r w:rsidRPr="009733EA"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  <w:t>P4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停車場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（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洪福宮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）</w:t>
      </w:r>
      <w:r w:rsidRPr="009733EA">
        <w:rPr>
          <w:rFonts w:ascii="標楷體" w:eastAsia="標楷體" w:hAnsi="標楷體" w:cs="Calibri"/>
          <w:spacing w:val="-5"/>
          <w:sz w:val="32"/>
          <w:szCs w:val="32"/>
          <w:lang w:val="en-US"/>
        </w:rPr>
        <w:t xml:space="preserve"> P3 Area (</w:t>
      </w:r>
      <w:proofErr w:type="spellStart"/>
      <w:r w:rsidRPr="009733EA">
        <w:rPr>
          <w:rFonts w:ascii="標楷體" w:eastAsia="標楷體" w:hAnsi="標楷體" w:cs="Calibri"/>
          <w:spacing w:val="-5"/>
          <w:sz w:val="32"/>
          <w:szCs w:val="32"/>
          <w:lang w:val="en-US"/>
        </w:rPr>
        <w:t>Siwei</w:t>
      </w:r>
      <w:proofErr w:type="spellEnd"/>
      <w:r w:rsidRPr="009733EA">
        <w:rPr>
          <w:rFonts w:ascii="標楷體" w:eastAsia="標楷體" w:hAnsi="標楷體" w:cs="Calibri"/>
          <w:spacing w:val="-5"/>
          <w:sz w:val="32"/>
          <w:szCs w:val="32"/>
          <w:lang w:val="en-US"/>
        </w:rPr>
        <w:t xml:space="preserve"> Road) / P4 Area (</w:t>
      </w:r>
      <w:proofErr w:type="spellStart"/>
      <w:r w:rsidRPr="009733EA">
        <w:rPr>
          <w:rFonts w:ascii="標楷體" w:eastAsia="標楷體" w:hAnsi="標楷體" w:cs="Calibri"/>
          <w:spacing w:val="-5"/>
          <w:sz w:val="32"/>
          <w:szCs w:val="32"/>
          <w:lang w:val="en-US"/>
        </w:rPr>
        <w:t>Hongfu</w:t>
      </w:r>
      <w:proofErr w:type="spellEnd"/>
      <w:r w:rsidRPr="009733EA">
        <w:rPr>
          <w:rFonts w:ascii="標楷體" w:eastAsia="標楷體" w:hAnsi="標楷體" w:cs="Calibri"/>
          <w:spacing w:val="-5"/>
          <w:sz w:val="32"/>
          <w:szCs w:val="32"/>
          <w:lang w:val="en-US"/>
        </w:rPr>
        <w:t xml:space="preserve"> Temple)</w:t>
      </w:r>
    </w:p>
    <w:p w:rsidR="00B37015" w:rsidRPr="009733EA" w:rsidRDefault="00B37015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每</w:t>
      </w:r>
      <w:r w:rsidRPr="009733EA"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  <w:t>10~15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分鐘</w:t>
      </w:r>
      <w:proofErr w:type="gramStart"/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一</w:t>
      </w:r>
      <w:proofErr w:type="gramEnd"/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班車</w:t>
      </w:r>
      <w:r w:rsidR="009733EA">
        <w:rPr>
          <w:rFonts w:ascii="新細明體" w:eastAsia="新細明體" w:hAnsi="新細明體" w:cs="Calibri" w:hint="eastAsia"/>
          <w:spacing w:val="-5"/>
          <w:sz w:val="32"/>
          <w:szCs w:val="32"/>
          <w:lang w:val="en-US"/>
        </w:rPr>
        <w:t>。</w:t>
      </w:r>
    </w:p>
    <w:p w:rsidR="00B37015" w:rsidRPr="009733EA" w:rsidRDefault="00B37015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Calibri" w:hint="eastAsia"/>
          <w:noProof/>
          <w:spacing w:val="-5"/>
          <w:sz w:val="32"/>
          <w:szCs w:val="32"/>
          <w:lang w:val="en-US"/>
        </w:rPr>
        <w:lastRenderedPageBreak/>
        <w:drawing>
          <wp:inline distT="0" distB="0" distL="0" distR="0" wp14:anchorId="207FFE7D" wp14:editId="6952D4F4">
            <wp:extent cx="6074530" cy="5396948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停車場路線圖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178" cy="540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9"/>
          <w:b/>
          <w:color w:val="E3096F"/>
          <w:sz w:val="32"/>
          <w:szCs w:val="32"/>
        </w:rPr>
      </w:pPr>
      <w:r w:rsidRPr="009733EA">
        <w:rPr>
          <w:rFonts w:ascii="標楷體" w:eastAsia="標楷體" w:hAnsi="標楷體" w:cs="華康黑體 Std W9" w:hint="eastAsia"/>
          <w:b/>
          <w:color w:val="0061B0"/>
          <w:sz w:val="32"/>
          <w:szCs w:val="32"/>
        </w:rPr>
        <w:t>洪福宮停車場路線圖</w:t>
      </w:r>
    </w:p>
    <w:p w:rsidR="00B37015" w:rsidRDefault="00B37015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9733EA" w:rsidRDefault="009733EA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9733EA" w:rsidRDefault="009733EA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9733EA" w:rsidRDefault="009733EA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9733EA" w:rsidRPr="009733EA" w:rsidRDefault="009733EA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B37015" w:rsidRPr="009733EA" w:rsidRDefault="00B37015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Calibri"/>
          <w:noProof/>
          <w:spacing w:val="-5"/>
          <w:sz w:val="32"/>
          <w:szCs w:val="32"/>
          <w:lang w:val="en-US"/>
        </w:rPr>
        <w:lastRenderedPageBreak/>
        <w:drawing>
          <wp:inline distT="0" distB="0" distL="0" distR="0" wp14:anchorId="29C082C9" wp14:editId="5966334F">
            <wp:extent cx="6112104" cy="4343400"/>
            <wp:effectExtent l="0" t="0" r="317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停車場路線圖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207" cy="43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015" w:rsidRPr="009733EA" w:rsidRDefault="00B37015" w:rsidP="00B37015">
      <w:pPr>
        <w:pStyle w:val="a3"/>
        <w:jc w:val="left"/>
        <w:rPr>
          <w:rFonts w:ascii="標楷體" w:eastAsia="標楷體" w:hAnsi="標楷體" w:cs="華康黑體 Std W9"/>
          <w:b/>
          <w:color w:val="0061AF"/>
          <w:sz w:val="32"/>
          <w:szCs w:val="32"/>
        </w:rPr>
      </w:pPr>
      <w:r w:rsidRPr="009733EA">
        <w:rPr>
          <w:rFonts w:ascii="標楷體" w:eastAsia="標楷體" w:hAnsi="標楷體" w:cs="華康黑體 Std W9" w:hint="eastAsia"/>
          <w:b/>
          <w:color w:val="0061AF"/>
          <w:sz w:val="32"/>
          <w:szCs w:val="32"/>
        </w:rPr>
        <w:t>四維路停車場路線圖</w:t>
      </w:r>
    </w:p>
    <w:p w:rsidR="00B37015" w:rsidRPr="009733EA" w:rsidRDefault="00B37015" w:rsidP="00B37015">
      <w:pPr>
        <w:pStyle w:val="a3"/>
        <w:rPr>
          <w:rFonts w:ascii="標楷體" w:eastAsia="標楷體" w:hAnsi="標楷體" w:cs="華康黑體 Std W9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提醒</w:t>
      </w:r>
      <w:r w:rsidRPr="009733EA">
        <w:rPr>
          <w:rFonts w:ascii="標楷體" w:eastAsia="標楷體" w:hAnsi="標楷體" w:cs="華康黑體 Std W9" w:hint="eastAsia"/>
          <w:sz w:val="32"/>
          <w:szCs w:val="32"/>
          <w:lang w:val="en-US"/>
        </w:rPr>
        <w:t>：</w:t>
      </w:r>
    </w:p>
    <w:p w:rsidR="00B37015" w:rsidRPr="009733EA" w:rsidRDefault="00B37015" w:rsidP="009733EA">
      <w:pPr>
        <w:pStyle w:val="a3"/>
        <w:numPr>
          <w:ilvl w:val="0"/>
          <w:numId w:val="3"/>
        </w:numPr>
        <w:rPr>
          <w:rFonts w:ascii="標楷體" w:eastAsia="標楷體" w:hAnsi="標楷體" w:cs="華康黑體 Std W3"/>
          <w:spacing w:val="-11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</w:rPr>
        <w:t>賽事期間球場憑賽事專用停車證進場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  <w:lang w:val="en-US"/>
        </w:rPr>
        <w:t>，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</w:rPr>
        <w:t>無停車證車輛一律禁止進入球場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  <w:lang w:val="en-US"/>
        </w:rPr>
        <w:t>，</w:t>
      </w:r>
      <w:r w:rsidRPr="009733EA">
        <w:rPr>
          <w:rFonts w:ascii="標楷體" w:eastAsia="標楷體" w:hAnsi="標楷體" w:cs="Adobe 宋体 Std L" w:hint="eastAsia"/>
          <w:spacing w:val="-11"/>
          <w:sz w:val="32"/>
          <w:szCs w:val="32"/>
          <w:lang w:val="ja-JP"/>
        </w:rPr>
        <w:t>並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</w:rPr>
        <w:t>請停放於賽事指定停車場。</w:t>
      </w:r>
    </w:p>
    <w:p w:rsidR="00B37015" w:rsidRPr="009733EA" w:rsidRDefault="00B37015" w:rsidP="00B37015">
      <w:pPr>
        <w:pStyle w:val="a3"/>
        <w:numPr>
          <w:ilvl w:val="0"/>
          <w:numId w:val="3"/>
        </w:numPr>
        <w:rPr>
          <w:rFonts w:ascii="標楷體" w:eastAsia="標楷體" w:hAnsi="標楷體" w:cs="華康黑體 Std W3"/>
          <w:spacing w:val="-11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賽事期間球場周邊嚴格取締路邊違規停車。</w:t>
      </w:r>
    </w:p>
    <w:p w:rsidR="00B37015" w:rsidRPr="009733EA" w:rsidRDefault="00B37015" w:rsidP="00B37015">
      <w:pPr>
        <w:pStyle w:val="a3"/>
        <w:numPr>
          <w:ilvl w:val="0"/>
          <w:numId w:val="3"/>
        </w:numPr>
        <w:rPr>
          <w:rFonts w:ascii="標楷體" w:eastAsia="標楷體" w:hAnsi="標楷體" w:cs="華康黑體 Std W3"/>
          <w:spacing w:val="-11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請多使用大眾運輸系統避免塞車。</w:t>
      </w:r>
    </w:p>
    <w:p w:rsidR="00B37015" w:rsidRPr="009733EA" w:rsidRDefault="00B37015">
      <w:pPr>
        <w:rPr>
          <w:rFonts w:ascii="標楷體" w:eastAsia="標楷體" w:hAnsi="標楷體"/>
          <w:sz w:val="32"/>
          <w:szCs w:val="32"/>
        </w:rPr>
      </w:pPr>
      <w:r w:rsidRPr="009733EA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0CB32D1" wp14:editId="4E6962F4">
            <wp:extent cx="6081505" cy="2186609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資訊圖_提醒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35" cy="218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015" w:rsidRPr="009733EA" w:rsidSect="00456F8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A3" w:rsidRDefault="00F37CA3" w:rsidP="009733EA">
      <w:r>
        <w:separator/>
      </w:r>
    </w:p>
  </w:endnote>
  <w:endnote w:type="continuationSeparator" w:id="0">
    <w:p w:rsidR="00F37CA3" w:rsidRDefault="00F37CA3" w:rsidP="0097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黑體 Std 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 宋体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A3" w:rsidRDefault="00F37CA3" w:rsidP="009733EA">
      <w:r>
        <w:separator/>
      </w:r>
    </w:p>
  </w:footnote>
  <w:footnote w:type="continuationSeparator" w:id="0">
    <w:p w:rsidR="00F37CA3" w:rsidRDefault="00F37CA3" w:rsidP="0097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6835"/>
    <w:multiLevelType w:val="hybridMultilevel"/>
    <w:tmpl w:val="ED800502"/>
    <w:lvl w:ilvl="0" w:tplc="A93288E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C051EB"/>
    <w:multiLevelType w:val="hybridMultilevel"/>
    <w:tmpl w:val="C82A9832"/>
    <w:lvl w:ilvl="0" w:tplc="CDBAD6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526FAA"/>
    <w:multiLevelType w:val="hybridMultilevel"/>
    <w:tmpl w:val="B94E8D72"/>
    <w:lvl w:ilvl="0" w:tplc="C7DCC9D0">
      <w:start w:val="1"/>
      <w:numFmt w:val="decimal"/>
      <w:lvlText w:val="%1、"/>
      <w:lvlJc w:val="left"/>
      <w:pPr>
        <w:ind w:left="450" w:hanging="450"/>
      </w:pPr>
      <w:rPr>
        <w:rFonts w:cs="華康黑體 Std W9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CD7A85"/>
    <w:multiLevelType w:val="hybridMultilevel"/>
    <w:tmpl w:val="3D66DC7C"/>
    <w:lvl w:ilvl="0" w:tplc="A93288E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2B"/>
    <w:rsid w:val="00172A08"/>
    <w:rsid w:val="004164AF"/>
    <w:rsid w:val="0055321B"/>
    <w:rsid w:val="009733EA"/>
    <w:rsid w:val="00B37015"/>
    <w:rsid w:val="00D76CA4"/>
    <w:rsid w:val="00F37CA3"/>
    <w:rsid w:val="00F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F515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  <w:style w:type="paragraph" w:styleId="a4">
    <w:name w:val="Balloon Text"/>
    <w:basedOn w:val="a"/>
    <w:link w:val="a5"/>
    <w:uiPriority w:val="99"/>
    <w:semiHidden/>
    <w:unhideWhenUsed/>
    <w:rsid w:val="00B3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70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33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33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F515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  <w:style w:type="paragraph" w:styleId="a4">
    <w:name w:val="Balloon Text"/>
    <w:basedOn w:val="a"/>
    <w:link w:val="a5"/>
    <w:uiPriority w:val="99"/>
    <w:semiHidden/>
    <w:unhideWhenUsed/>
    <w:rsid w:val="00B3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70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33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33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倦勤齋</dc:creator>
  <cp:lastModifiedBy>余明錦</cp:lastModifiedBy>
  <cp:revision>3</cp:revision>
  <cp:lastPrinted>2013-11-27T09:38:00Z</cp:lastPrinted>
  <dcterms:created xsi:type="dcterms:W3CDTF">2013-11-27T09:37:00Z</dcterms:created>
  <dcterms:modified xsi:type="dcterms:W3CDTF">2013-11-27T09:40:00Z</dcterms:modified>
</cp:coreProperties>
</file>