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D9" w:rsidRPr="00D14FB2" w:rsidRDefault="001502D9" w:rsidP="001502D9">
      <w:pPr>
        <w:jc w:val="center"/>
        <w:rPr>
          <w:sz w:val="36"/>
          <w:szCs w:val="36"/>
        </w:rPr>
      </w:pPr>
      <w:bookmarkStart w:id="0" w:name="_GoBack"/>
      <w:r w:rsidRPr="00D14FB2">
        <w:rPr>
          <w:rFonts w:ascii="微軟正黑體" w:eastAsia="微軟正黑體" w:hAnsi="微軟正黑體" w:cs="Times New Roman" w:hint="eastAsia"/>
          <w:sz w:val="36"/>
          <w:szCs w:val="36"/>
        </w:rPr>
        <w:t>探索洲子</w:t>
      </w:r>
      <w:r>
        <w:rPr>
          <w:rFonts w:ascii="微軟正黑體" w:eastAsia="微軟正黑體" w:hAnsi="微軟正黑體" w:cs="Times New Roman" w:hint="eastAsia"/>
          <w:sz w:val="36"/>
          <w:szCs w:val="36"/>
        </w:rPr>
        <w:t>環保公園植物</w:t>
      </w:r>
      <w:r w:rsidRPr="00D14FB2">
        <w:rPr>
          <w:rFonts w:ascii="微軟正黑體" w:eastAsia="微軟正黑體" w:hAnsi="微軟正黑體" w:cs="Times New Roman" w:hint="eastAsia"/>
          <w:sz w:val="36"/>
          <w:szCs w:val="36"/>
        </w:rPr>
        <w:t>體驗營</w:t>
      </w:r>
    </w:p>
    <w:bookmarkEnd w:id="0"/>
    <w:p w:rsidR="001502D9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壹、緣起與目的</w:t>
      </w:r>
    </w:p>
    <w:p w:rsidR="001502D9" w:rsidRPr="00B64116" w:rsidRDefault="001502D9" w:rsidP="001502D9">
      <w:pPr>
        <w:snapToGrid w:val="0"/>
        <w:spacing w:line="480" w:lineRule="exact"/>
        <w:ind w:leftChars="177" w:left="425" w:firstLineChars="177" w:firstLine="425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B64116">
        <w:rPr>
          <w:rFonts w:ascii="微軟正黑體" w:eastAsia="微軟正黑體" w:hAnsi="微軟正黑體" w:hint="eastAsia"/>
          <w:color w:val="000000"/>
          <w:szCs w:val="24"/>
        </w:rPr>
        <w:t>「空氣品質淨化區」係指任何地區（包括人工地盤）以種植植物綠化為主或設置其他相關的簡易設施，以達到改善空氣品質、提升生活環境品質、提供休閒、生態與環境教育和資源永續利用之目的。</w:t>
      </w:r>
      <w:r w:rsidRPr="00B64116">
        <w:rPr>
          <w:rFonts w:ascii="微軟正黑體" w:eastAsia="微軟正黑體" w:hAnsi="微軟正黑體" w:cs="Times New Roman" w:hint="eastAsia"/>
          <w:color w:val="000000"/>
          <w:kern w:val="0"/>
          <w:szCs w:val="24"/>
        </w:rPr>
        <w:t>空氣品質淨化區的設置是基於下列各項之基本理念：</w:t>
      </w:r>
    </w:p>
    <w:p w:rsidR="001502D9" w:rsidRPr="00B64116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64116">
        <w:rPr>
          <w:rFonts w:ascii="微軟正黑體" w:eastAsia="微軟正黑體" w:hAnsi="微軟正黑體" w:cs="Arial"/>
          <w:color w:val="000000"/>
          <w:kern w:val="0"/>
          <w:szCs w:val="24"/>
        </w:rPr>
        <w:t>(</w:t>
      </w:r>
      <w:proofErr w:type="gramStart"/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一</w:t>
      </w:r>
      <w:proofErr w:type="gramEnd"/>
      <w:r w:rsidRPr="00B64116">
        <w:rPr>
          <w:rFonts w:ascii="微軟正黑體" w:eastAsia="微軟正黑體" w:hAnsi="微軟正黑體" w:cs="Arial"/>
          <w:color w:val="000000"/>
          <w:kern w:val="0"/>
          <w:szCs w:val="24"/>
        </w:rPr>
        <w:t>)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ab/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藉由植物的生理特性－包括吸收二氧化碳、</w:t>
      </w:r>
      <w:proofErr w:type="gramStart"/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釋出氧、</w:t>
      </w:r>
      <w:proofErr w:type="gramEnd"/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吸收污染氣體、減少塵埃與懸浮微粒、改變空氣中之溼度和溫度等，以淨化空氣的品質，進而增進人類的健康與福祉。</w:t>
      </w:r>
    </w:p>
    <w:p w:rsidR="001502D9" w:rsidRPr="00B64116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>(</w:t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二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>)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ab/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減緩廢棄物、噪音、水污染等人為環境污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染。</w:t>
      </w:r>
    </w:p>
    <w:p w:rsidR="001502D9" w:rsidRPr="00B64116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>(</w:t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三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>)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ab/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提供生態模擬及生態教育的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場所。</w:t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 </w:t>
      </w:r>
    </w:p>
    <w:p w:rsidR="001502D9" w:rsidRPr="00B64116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>(</w:t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四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>)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ab/>
      </w:r>
      <w:r w:rsidRPr="00B6411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提供環境生態及生物多樣性的保護場所。</w:t>
      </w:r>
      <w:r w:rsidRPr="00B64116">
        <w:rPr>
          <w:rFonts w:ascii="微軟正黑體" w:eastAsia="微軟正黑體" w:hAnsi="微軟正黑體" w:cs="新細明體"/>
          <w:color w:val="000000"/>
          <w:kern w:val="0"/>
          <w:szCs w:val="24"/>
        </w:rPr>
        <w:t> </w:t>
      </w:r>
    </w:p>
    <w:p w:rsidR="001502D9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貳、預期效益</w:t>
      </w:r>
    </w:p>
    <w:p w:rsidR="001502D9" w:rsidRDefault="001502D9" w:rsidP="001502D9">
      <w:pPr>
        <w:snapToGrid w:val="0"/>
        <w:spacing w:line="480" w:lineRule="exact"/>
        <w:ind w:leftChars="177" w:left="425" w:firstLineChars="177" w:firstLine="425"/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本次探索植物生態營，主要透過</w:t>
      </w:r>
      <w:proofErr w:type="gramStart"/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參與式的體驗</w:t>
      </w:r>
      <w:proofErr w:type="gramEnd"/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設計與植物有關的藝術創作活動來讓小朋友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參與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。藉由這些活動，除了能讓小朋友對植物有更進一步的認識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，也瞭解本市設置空氣品質淨化區的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區位。</w:t>
      </w:r>
      <w:proofErr w:type="gramStart"/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此外，</w:t>
      </w:r>
      <w:proofErr w:type="gramEnd"/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透過課程的學習，以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各種植物生態影像資料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透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活潑風趣故事及遊戲，引導孩子在玩樂中學習。</w:t>
      </w:r>
    </w:p>
    <w:p w:rsidR="001502D9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參、</w:t>
      </w:r>
      <w:r w:rsidRPr="00E77B62"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探索洲子環保公園植物體驗營</w:t>
      </w: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活動內容</w:t>
      </w:r>
    </w:p>
    <w:p w:rsidR="001502D9" w:rsidRPr="00943A25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)辦理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時間：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104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年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8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月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4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日，上午8時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4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0分至下午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4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時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30分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。</w:t>
      </w:r>
    </w:p>
    <w:p w:rsidR="001502D9" w:rsidRPr="00943A25" w:rsidRDefault="001502D9" w:rsidP="001502D9">
      <w:pPr>
        <w:snapToGrid w:val="0"/>
        <w:spacing w:line="480" w:lineRule="exact"/>
        <w:ind w:leftChars="177" w:left="1985" w:hangingChars="650" w:hanging="156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(二)辦理</w:t>
      </w:r>
      <w:r w:rsidRPr="00943A25">
        <w:rPr>
          <w:rFonts w:ascii="微軟正黑體" w:eastAsia="微軟正黑體" w:hAnsi="微軟正黑體" w:cs="新細明體"/>
          <w:color w:val="000000"/>
          <w:kern w:val="0"/>
          <w:szCs w:val="24"/>
        </w:rPr>
        <w:t>地點：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內湖科技</w:t>
      </w:r>
      <w:proofErr w:type="gramStart"/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園區產發局</w:t>
      </w:r>
      <w:proofErr w:type="gramEnd"/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會議室</w:t>
      </w:r>
      <w:r w:rsidRPr="00647A6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(臺北市內湖區洲子街12號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2</w:t>
      </w:r>
      <w:r w:rsidRPr="00647A6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F)</w:t>
      </w:r>
      <w:r w:rsidRPr="00970F27">
        <w:rPr>
          <w:rFonts w:hint="eastAsia"/>
        </w:rPr>
        <w:t xml:space="preserve"> </w:t>
      </w:r>
      <w:r>
        <w:rPr>
          <w:rFonts w:hint="eastAsia"/>
        </w:rPr>
        <w:t>及</w:t>
      </w:r>
      <w:r w:rsidRPr="00970F2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公104洲仔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</w:t>
      </w:r>
      <w:r w:rsidRPr="00970F2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號環保公園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</w:t>
      </w:r>
      <w:proofErr w:type="gramStart"/>
      <w:r w:rsidRPr="00C83BBB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基湖路</w:t>
      </w:r>
      <w:proofErr w:type="gramEnd"/>
      <w:r w:rsidRPr="00C83BBB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32號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)</w:t>
      </w:r>
    </w:p>
    <w:p w:rsidR="001502D9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(三)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學員人數：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總數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30名，免費參加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502D9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(四)報名資格：小學3-5年級學童，名額30名，其中25名不限資格；另保留5名清寒學生名額。(報名時請提供</w:t>
      </w:r>
      <w:r w:rsidRPr="00D52AB2">
        <w:rPr>
          <w:rFonts w:ascii="微軟正黑體" w:eastAsia="微軟正黑體" w:hAnsi="微軟正黑體" w:cs="新細明體"/>
          <w:color w:val="000000"/>
          <w:kern w:val="0"/>
          <w:szCs w:val="24"/>
        </w:rPr>
        <w:t>區公所出具之低收入戶證明； 非</w:t>
      </w:r>
      <w:proofErr w:type="gramStart"/>
      <w:r w:rsidRPr="00D52AB2">
        <w:rPr>
          <w:rFonts w:ascii="微軟正黑體" w:eastAsia="微軟正黑體" w:hAnsi="微軟正黑體" w:cs="新細明體"/>
          <w:color w:val="000000"/>
          <w:kern w:val="0"/>
          <w:szCs w:val="24"/>
        </w:rPr>
        <w:t>收入戶但家境</w:t>
      </w:r>
      <w:proofErr w:type="gramEnd"/>
      <w:r w:rsidRPr="00D52AB2">
        <w:rPr>
          <w:rFonts w:ascii="微軟正黑體" w:eastAsia="微軟正黑體" w:hAnsi="微軟正黑體" w:cs="新細明體"/>
          <w:color w:val="000000"/>
          <w:kern w:val="0"/>
          <w:szCs w:val="24"/>
        </w:rPr>
        <w:t>清寒貧苦者得檢具</w:t>
      </w:r>
      <w:r w:rsidRPr="00D52AB2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區</w:t>
      </w:r>
      <w:r w:rsidRPr="00D52AB2">
        <w:rPr>
          <w:rFonts w:ascii="微軟正黑體" w:eastAsia="微軟正黑體" w:hAnsi="微軟正黑體" w:cs="新細明體"/>
          <w:color w:val="000000"/>
          <w:kern w:val="0"/>
          <w:szCs w:val="24"/>
        </w:rPr>
        <w:t>公所出具已列入政府中低收入兒少扶助之證明。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)</w:t>
      </w:r>
    </w:p>
    <w:p w:rsidR="001502D9" w:rsidRPr="00D52AB2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(五)本次活動不開放家長陪同，請家長於報到及結束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時間送接學童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502D9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lastRenderedPageBreak/>
        <w:t>(六)體驗課程時間表</w:t>
      </w:r>
      <w:r w:rsidRPr="00943A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：</w:t>
      </w:r>
    </w:p>
    <w:p w:rsidR="001502D9" w:rsidRDefault="001502D9" w:rsidP="001502D9">
      <w:pPr>
        <w:snapToGrid w:val="0"/>
        <w:spacing w:line="480" w:lineRule="exact"/>
        <w:ind w:leftChars="177" w:left="991" w:hangingChars="236" w:hanging="566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1502D9" w:rsidRPr="00723225" w:rsidRDefault="001502D9" w:rsidP="001502D9">
      <w:pPr>
        <w:snapToGrid w:val="0"/>
        <w:jc w:val="center"/>
        <w:rPr>
          <w:sz w:val="20"/>
          <w:szCs w:val="20"/>
        </w:rPr>
      </w:pPr>
      <w:r w:rsidRPr="00D14FB2">
        <w:rPr>
          <w:rFonts w:ascii="微軟正黑體" w:eastAsia="微軟正黑體" w:hAnsi="微軟正黑體" w:cs="Times New Roman" w:hint="eastAsia"/>
          <w:sz w:val="36"/>
          <w:szCs w:val="36"/>
        </w:rPr>
        <w:t>探索洲子</w:t>
      </w:r>
      <w:r>
        <w:rPr>
          <w:rFonts w:ascii="微軟正黑體" w:eastAsia="微軟正黑體" w:hAnsi="微軟正黑體" w:cs="Times New Roman" w:hint="eastAsia"/>
          <w:sz w:val="36"/>
          <w:szCs w:val="36"/>
        </w:rPr>
        <w:t>環保公園植物</w:t>
      </w:r>
      <w:r w:rsidRPr="00D14FB2">
        <w:rPr>
          <w:rFonts w:ascii="微軟正黑體" w:eastAsia="微軟正黑體" w:hAnsi="微軟正黑體" w:cs="Times New Roman" w:hint="eastAsia"/>
          <w:sz w:val="36"/>
          <w:szCs w:val="36"/>
        </w:rPr>
        <w:t>體驗營</w:t>
      </w:r>
    </w:p>
    <w:tbl>
      <w:tblPr>
        <w:tblStyle w:val="a3"/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693"/>
        <w:gridCol w:w="3544"/>
      </w:tblGrid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spacing w:before="120" w:after="120" w:line="5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  <w:vAlign w:val="center"/>
          </w:tcPr>
          <w:p w:rsidR="001502D9" w:rsidRPr="00E96989" w:rsidRDefault="001502D9" w:rsidP="00AA007E">
            <w:pPr>
              <w:spacing w:before="120" w:after="120" w:line="5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研習課程</w:t>
            </w:r>
          </w:p>
        </w:tc>
        <w:tc>
          <w:tcPr>
            <w:tcW w:w="3544" w:type="dxa"/>
            <w:vAlign w:val="center"/>
          </w:tcPr>
          <w:p w:rsidR="001502D9" w:rsidRPr="00E96989" w:rsidRDefault="001502D9" w:rsidP="00AA007E">
            <w:pPr>
              <w:spacing w:before="120" w:after="120" w:line="5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08：40～09：00</w:t>
            </w:r>
          </w:p>
        </w:tc>
        <w:tc>
          <w:tcPr>
            <w:tcW w:w="6237" w:type="dxa"/>
            <w:gridSpan w:val="2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00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～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05</w:t>
            </w:r>
          </w:p>
        </w:tc>
        <w:tc>
          <w:tcPr>
            <w:tcW w:w="6237" w:type="dxa"/>
            <w:gridSpan w:val="2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局長勉勵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05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～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6237" w:type="dxa"/>
            <w:gridSpan w:val="2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貴賓勉勵(臺灣大學李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哖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教授)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09：00～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1502D9" w:rsidRDefault="001502D9" w:rsidP="00AA007E">
            <w:pPr>
              <w:widowControl/>
              <w:autoSpaceDE w:val="0"/>
              <w:autoSpaceDN w:val="0"/>
              <w:snapToGrid w:val="0"/>
              <w:spacing w:before="60" w:after="60" w:line="360" w:lineRule="exact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植物百寶箱~</w:t>
            </w:r>
          </w:p>
          <w:p w:rsidR="001502D9" w:rsidRPr="00E96989" w:rsidRDefault="001502D9" w:rsidP="00AA007E">
            <w:pPr>
              <w:widowControl/>
              <w:autoSpaceDE w:val="0"/>
              <w:autoSpaceDN w:val="0"/>
              <w:snapToGrid w:val="0"/>
              <w:spacing w:before="60" w:after="60" w:line="360" w:lineRule="exact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認識環保公園</w:t>
            </w:r>
          </w:p>
        </w:tc>
        <w:tc>
          <w:tcPr>
            <w:tcW w:w="3544" w:type="dxa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認識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五花八門的植物在</w:t>
            </w:r>
            <w:proofErr w:type="gramStart"/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這裡喔</w:t>
            </w:r>
            <w:proofErr w:type="gramEnd"/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!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30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～1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：00</w:t>
            </w:r>
          </w:p>
        </w:tc>
        <w:tc>
          <w:tcPr>
            <w:tcW w:w="2693" w:type="dxa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我是小小綠手指DIY~</w:t>
            </w:r>
          </w:p>
        </w:tc>
        <w:tc>
          <w:tcPr>
            <w:tcW w:w="3544" w:type="dxa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種一盆屬於自己的盆栽帶回家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12：00～13：30</w:t>
            </w:r>
          </w:p>
        </w:tc>
        <w:tc>
          <w:tcPr>
            <w:tcW w:w="6237" w:type="dxa"/>
            <w:gridSpan w:val="2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用餐、午休、好心情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30-15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植物標本的製作~!</w:t>
            </w:r>
          </w:p>
        </w:tc>
        <w:tc>
          <w:tcPr>
            <w:tcW w:w="3544" w:type="dxa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撿拾的葉片、果實與種子想要好好保存嗎?把它製做成標本吧</w:t>
            </w:r>
          </w:p>
        </w:tc>
      </w:tr>
      <w:tr w:rsidR="001502D9" w:rsidRPr="00E96989" w:rsidTr="00AA007E">
        <w:trPr>
          <w:trHeight w:val="340"/>
        </w:trPr>
        <w:tc>
          <w:tcPr>
            <w:tcW w:w="2376" w:type="dxa"/>
            <w:vAlign w:val="center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15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00-16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E96989">
              <w:rPr>
                <w:rFonts w:ascii="微軟正黑體" w:eastAsia="微軟正黑體" w:hAnsi="微軟正黑體" w:hint="eastAsia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壓花鑰匙圈DIY~</w:t>
            </w: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1502D9" w:rsidRPr="00E96989" w:rsidRDefault="001502D9" w:rsidP="00AA007E">
            <w:pPr>
              <w:autoSpaceDE w:val="0"/>
              <w:autoSpaceDN w:val="0"/>
              <w:snapToGrid w:val="0"/>
              <w:spacing w:before="60" w:after="60"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6989">
              <w:rPr>
                <w:rFonts w:ascii="微軟正黑體" w:eastAsia="微軟正黑體" w:hAnsi="微軟正黑體"/>
                <w:sz w:val="28"/>
                <w:szCs w:val="28"/>
              </w:rPr>
              <w:t>用壓花製作美麗的鑰匙圈</w:t>
            </w:r>
          </w:p>
        </w:tc>
      </w:tr>
    </w:tbl>
    <w:p w:rsidR="001502D9" w:rsidRPr="00EB7353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</w:p>
    <w:p w:rsidR="001502D9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肆、報名方式</w:t>
      </w:r>
    </w:p>
    <w:p w:rsidR="001502D9" w:rsidRDefault="001502D9" w:rsidP="001502D9">
      <w:pPr>
        <w:snapToGrid w:val="0"/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1.相關報名資訊將於局網上公布</w:t>
      </w:r>
      <w:proofErr w:type="gramStart"/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一週</w:t>
      </w:r>
      <w:proofErr w:type="gramEnd"/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，</w:t>
      </w:r>
      <w:proofErr w:type="gramStart"/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一週</w:t>
      </w:r>
      <w:proofErr w:type="gramEnd"/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後開放報名。</w:t>
      </w:r>
    </w:p>
    <w:p w:rsidR="001502D9" w:rsidRDefault="001502D9" w:rsidP="001502D9">
      <w:pPr>
        <w:snapToGrid w:val="0"/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2.本次活動一律採取網路報名，並以登錄先後順序為依據，額滿即不受理報名</w:t>
      </w:r>
      <w:r>
        <w:rPr>
          <w:rFonts w:ascii="新細明體" w:eastAsia="新細明體" w:hAnsi="新細明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。</w:t>
      </w:r>
    </w:p>
    <w:p w:rsidR="001502D9" w:rsidRDefault="001502D9" w:rsidP="001502D9">
      <w:pPr>
        <w:snapToGrid w:val="0"/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3.報名成功後將以Email及簡訊寄發報到通知，報名網址如下</w:t>
      </w:r>
    </w:p>
    <w:p w:rsidR="001502D9" w:rsidRPr="00BB7FEC" w:rsidRDefault="00161917" w:rsidP="001502D9">
      <w:pPr>
        <w:snapToGrid w:val="0"/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hyperlink r:id="rId6" w:history="1">
        <w:r w:rsidR="001502D9" w:rsidRPr="0073128F">
          <w:rPr>
            <w:rStyle w:val="a4"/>
            <w:rFonts w:ascii="微軟正黑體" w:eastAsia="微軟正黑體" w:hAnsi="微軟正黑體" w:cs="Arial"/>
            <w:szCs w:val="24"/>
            <w:bdr w:val="none" w:sz="0" w:space="0" w:color="auto" w:frame="1"/>
            <w:shd w:val="clear" w:color="auto" w:fill="FEFEF5"/>
          </w:rPr>
          <w:t>https://docs.google.com/forms/d/1Nd7L8zZMl1hzwNI9lz7CMaxhnt8F2lj5A6YtxpaySwk/viewform</w:t>
        </w:r>
      </w:hyperlink>
      <w:r w:rsidR="001502D9"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 xml:space="preserve"> </w:t>
      </w:r>
    </w:p>
    <w:p w:rsidR="00FD16E2" w:rsidRDefault="00FD16E2"/>
    <w:p w:rsidR="001502D9" w:rsidRDefault="001502D9">
      <w:r>
        <w:rPr>
          <w:noProof/>
        </w:rPr>
        <w:drawing>
          <wp:inline distT="0" distB="0" distL="0" distR="0" wp14:anchorId="5DD76749">
            <wp:extent cx="5206365" cy="6450330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645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2D9" w:rsidRDefault="001502D9"/>
    <w:p w:rsidR="001502D9" w:rsidRDefault="001502D9"/>
    <w:p w:rsidR="001502D9" w:rsidRDefault="001502D9">
      <w:r>
        <w:rPr>
          <w:noProof/>
        </w:rPr>
        <w:drawing>
          <wp:inline distT="0" distB="0" distL="0" distR="0" wp14:anchorId="26ABF8B1">
            <wp:extent cx="5060315" cy="7322185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732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2D9" w:rsidRDefault="001502D9"/>
    <w:p w:rsidR="001502D9" w:rsidRDefault="001502D9"/>
    <w:p w:rsidR="001502D9" w:rsidRDefault="001502D9"/>
    <w:p w:rsidR="001502D9" w:rsidRDefault="001502D9"/>
    <w:p w:rsidR="001502D9" w:rsidRDefault="001502D9"/>
    <w:p w:rsidR="001502D9" w:rsidRPr="001502D9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伍</w:t>
      </w:r>
      <w:r>
        <w:rPr>
          <w:rFonts w:ascii="新細明體" w:eastAsia="新細明體" w:hAnsi="新細明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、</w:t>
      </w:r>
      <w:r w:rsidRPr="001502D9">
        <w:rPr>
          <w:rFonts w:ascii="微軟正黑體" w:eastAsia="微軟正黑體" w:hAnsi="微軟正黑體" w:cs="Arial" w:hint="eastAsia"/>
          <w:color w:val="000000" w:themeColor="text1"/>
          <w:szCs w:val="24"/>
          <w:bdr w:val="none" w:sz="0" w:space="0" w:color="auto" w:frame="1"/>
          <w:shd w:val="clear" w:color="auto" w:fill="FEFEF5"/>
        </w:rPr>
        <w:t>交通資訊</w:t>
      </w:r>
    </w:p>
    <w:p w:rsidR="001502D9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  <w:r>
        <w:rPr>
          <w:rFonts w:ascii="微軟正黑體" w:eastAsia="微軟正黑體" w:hAnsi="微軟正黑體" w:cs="Arial" w:hint="eastAsia"/>
          <w:noProof/>
          <w:color w:val="000000" w:themeColor="text1"/>
          <w:szCs w:val="24"/>
          <w:bdr w:val="none" w:sz="0" w:space="0" w:color="auto" w:frame="1"/>
          <w:shd w:val="clear" w:color="auto" w:fill="FEFEF5"/>
        </w:rPr>
        <w:drawing>
          <wp:inline distT="0" distB="0" distL="0" distR="0" wp14:anchorId="21D3615B" wp14:editId="454A9914">
            <wp:extent cx="2825750" cy="2868136"/>
            <wp:effectExtent l="19050" t="0" r="0" b="0"/>
            <wp:docPr id="3" name="圖片 2" descr="3ndfl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ndfloo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119" cy="288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2D9" w:rsidRPr="00D074C0" w:rsidRDefault="001502D9" w:rsidP="001502D9">
      <w:pPr>
        <w:rPr>
          <w:rFonts w:ascii="微軟正黑體" w:eastAsia="微軟正黑體" w:hAnsi="微軟正黑體" w:cs="Arial"/>
          <w:color w:val="000000" w:themeColor="text1"/>
          <w:szCs w:val="24"/>
          <w:bdr w:val="none" w:sz="0" w:space="0" w:color="auto" w:frame="1"/>
          <w:shd w:val="clear" w:color="auto" w:fill="FEFEF5"/>
        </w:rPr>
      </w:pPr>
    </w:p>
    <w:tbl>
      <w:tblPr>
        <w:tblW w:w="921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417"/>
        <w:gridCol w:w="7796"/>
      </w:tblGrid>
      <w:tr w:rsidR="001502D9" w:rsidRPr="00D074C0" w:rsidTr="00AA007E">
        <w:trPr>
          <w:trHeight w:val="227"/>
          <w:tblCellSpacing w:w="15" w:type="dxa"/>
          <w:jc w:val="center"/>
        </w:trPr>
        <w:tc>
          <w:tcPr>
            <w:tcW w:w="1372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cs="Times New Roman"/>
                <w:sz w:val="22"/>
              </w:rPr>
              <w:t>館址</w:t>
            </w:r>
          </w:p>
        </w:tc>
        <w:tc>
          <w:tcPr>
            <w:tcW w:w="7751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cs="Times New Roman"/>
                <w:sz w:val="22"/>
              </w:rPr>
              <w:t>臺北市內湖區洲子街</w:t>
            </w:r>
            <w:r w:rsidRPr="00D074C0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D074C0">
              <w:rPr>
                <w:rFonts w:ascii="Times New Roman" w:eastAsia="標楷體" w:cs="Times New Roman"/>
                <w:sz w:val="22"/>
              </w:rPr>
              <w:t>號</w:t>
            </w:r>
            <w:r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D074C0">
              <w:rPr>
                <w:rFonts w:ascii="Times New Roman" w:eastAsia="標楷體" w:hAnsi="Times New Roman" w:cs="Times New Roman"/>
                <w:sz w:val="22"/>
              </w:rPr>
              <w:t>F</w:t>
            </w:r>
          </w:p>
        </w:tc>
      </w:tr>
      <w:tr w:rsidR="001502D9" w:rsidRPr="00D074C0" w:rsidTr="00AA007E">
        <w:trPr>
          <w:trHeight w:val="227"/>
          <w:tblCellSpacing w:w="15" w:type="dxa"/>
          <w:jc w:val="center"/>
        </w:trPr>
        <w:tc>
          <w:tcPr>
            <w:tcW w:w="1372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cs="Times New Roman"/>
                <w:sz w:val="22"/>
              </w:rPr>
              <w:t>電話</w:t>
            </w:r>
          </w:p>
        </w:tc>
        <w:tc>
          <w:tcPr>
            <w:tcW w:w="7751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hAnsi="Times New Roman" w:cs="Times New Roman"/>
                <w:sz w:val="22"/>
              </w:rPr>
              <w:t>02-27996898</w:t>
            </w:r>
          </w:p>
        </w:tc>
      </w:tr>
      <w:tr w:rsidR="001502D9" w:rsidRPr="00D074C0" w:rsidTr="00AA007E">
        <w:trPr>
          <w:trHeight w:val="227"/>
          <w:tblCellSpacing w:w="15" w:type="dxa"/>
          <w:jc w:val="center"/>
        </w:trPr>
        <w:tc>
          <w:tcPr>
            <w:tcW w:w="1372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cs="Times New Roman"/>
                <w:sz w:val="22"/>
              </w:rPr>
              <w:t>網址</w:t>
            </w:r>
          </w:p>
        </w:tc>
        <w:tc>
          <w:tcPr>
            <w:tcW w:w="7751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hAnsi="Times New Roman" w:cs="Times New Roman"/>
                <w:sz w:val="22"/>
              </w:rPr>
              <w:t>http://www.hitech.gov.taipei/mp.asp?mp=105006</w:t>
            </w:r>
          </w:p>
        </w:tc>
      </w:tr>
      <w:tr w:rsidR="001502D9" w:rsidRPr="00D074C0" w:rsidTr="00AA007E">
        <w:trPr>
          <w:trHeight w:val="227"/>
          <w:tblCellSpacing w:w="15" w:type="dxa"/>
          <w:jc w:val="center"/>
        </w:trPr>
        <w:tc>
          <w:tcPr>
            <w:tcW w:w="1372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cs="Times New Roman"/>
                <w:sz w:val="22"/>
              </w:rPr>
              <w:t>開放時間</w:t>
            </w:r>
          </w:p>
        </w:tc>
        <w:tc>
          <w:tcPr>
            <w:tcW w:w="7751" w:type="dxa"/>
            <w:vAlign w:val="center"/>
            <w:hideMark/>
          </w:tcPr>
          <w:p w:rsidR="001502D9" w:rsidRPr="00D074C0" w:rsidRDefault="001502D9" w:rsidP="00AA007E">
            <w:pPr>
              <w:spacing w:before="100" w:beforeAutospacing="1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cs="Times New Roman"/>
                <w:sz w:val="22"/>
              </w:rPr>
              <w:t>週一至週五上午</w:t>
            </w:r>
            <w:r w:rsidRPr="00D074C0">
              <w:rPr>
                <w:rFonts w:ascii="Times New Roman" w:eastAsia="標楷體" w:hAnsi="Times New Roman" w:cs="Times New Roman"/>
                <w:sz w:val="22"/>
              </w:rPr>
              <w:t>9</w:t>
            </w:r>
            <w:r w:rsidRPr="00D074C0">
              <w:rPr>
                <w:rFonts w:ascii="Times New Roman" w:eastAsia="標楷體" w:cs="Times New Roman"/>
                <w:sz w:val="22"/>
              </w:rPr>
              <w:t>時至下午</w:t>
            </w:r>
            <w:r w:rsidRPr="00D074C0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D074C0">
              <w:rPr>
                <w:rFonts w:ascii="Times New Roman" w:eastAsia="標楷體" w:cs="Times New Roman"/>
                <w:sz w:val="22"/>
              </w:rPr>
              <w:t>時</w:t>
            </w:r>
          </w:p>
        </w:tc>
      </w:tr>
      <w:tr w:rsidR="001502D9" w:rsidRPr="00D074C0" w:rsidTr="00AA007E">
        <w:trPr>
          <w:trHeight w:val="227"/>
          <w:tblCellSpacing w:w="15" w:type="dxa"/>
          <w:jc w:val="center"/>
        </w:trPr>
        <w:tc>
          <w:tcPr>
            <w:tcW w:w="1372" w:type="dxa"/>
            <w:vAlign w:val="center"/>
            <w:hideMark/>
          </w:tcPr>
          <w:p w:rsidR="001502D9" w:rsidRPr="00D074C0" w:rsidRDefault="001502D9" w:rsidP="00AA007E">
            <w:pPr>
              <w:widowControl/>
              <w:spacing w:line="335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D074C0">
              <w:rPr>
                <w:rFonts w:ascii="Times New Roman" w:eastAsia="標楷體" w:cs="Times New Roman"/>
                <w:sz w:val="22"/>
              </w:rPr>
              <w:t>交通資訊</w:t>
            </w:r>
          </w:p>
        </w:tc>
        <w:tc>
          <w:tcPr>
            <w:tcW w:w="7751" w:type="dxa"/>
            <w:vAlign w:val="center"/>
            <w:hideMark/>
          </w:tcPr>
          <w:p w:rsidR="001502D9" w:rsidRPr="00D074C0" w:rsidRDefault="001502D9" w:rsidP="00AA007E">
            <w:pPr>
              <w:pStyle w:val="Web"/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</w:pP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地　　址：臺北市內湖區洲子街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號</w:t>
            </w:r>
            <w:r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F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br/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公車路線：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br/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【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A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】捷運港墘站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內湖高工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：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28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222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247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267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286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 287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620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677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681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、藍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、藍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26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、紅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、棕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16 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br/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【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B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】港墘派出所站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港墘路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：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0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東、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222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551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646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652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、紅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3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、棕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16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、藍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26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、藍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7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br/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【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C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】</w:t>
            </w:r>
            <w:proofErr w:type="gramStart"/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臺</w:t>
            </w:r>
            <w:proofErr w:type="gramEnd"/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北花市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港墘路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：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0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東、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222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551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646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652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、紅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3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、棕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16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br/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【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D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】</w:t>
            </w:r>
            <w:proofErr w:type="gramStart"/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臺</w:t>
            </w:r>
            <w:proofErr w:type="gramEnd"/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北花市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(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瑞光路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)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：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552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645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902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、紅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3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、紅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31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、藍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1573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；內科通勤專車：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3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8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10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11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13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15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16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17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20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、捷運圓山站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 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br/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br/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捷　　運：捷運</w:t>
            </w:r>
            <w:proofErr w:type="gramStart"/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文湖線港墘</w:t>
            </w:r>
            <w:proofErr w:type="gramEnd"/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站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>2</w:t>
            </w:r>
            <w:r w:rsidRPr="00D074C0">
              <w:rPr>
                <w:rFonts w:ascii="Times New Roman" w:eastAsia="標楷體" w:hAnsiTheme="minorHAnsi" w:cs="Times New Roman"/>
                <w:kern w:val="2"/>
                <w:sz w:val="22"/>
                <w:szCs w:val="22"/>
              </w:rPr>
              <w:t>號出口</w:t>
            </w:r>
            <w:r w:rsidRPr="00D074C0">
              <w:rPr>
                <w:rFonts w:ascii="Times New Roman" w:eastAsia="標楷體" w:hAnsi="Times New Roman" w:cs="Times New Roman"/>
                <w:kern w:val="2"/>
                <w:sz w:val="22"/>
                <w:szCs w:val="22"/>
              </w:rPr>
              <w:t xml:space="preserve"> </w:t>
            </w:r>
          </w:p>
        </w:tc>
      </w:tr>
    </w:tbl>
    <w:p w:rsidR="001502D9" w:rsidRDefault="001502D9" w:rsidP="001502D9"/>
    <w:p w:rsidR="001502D9" w:rsidRPr="001502D9" w:rsidRDefault="001502D9"/>
    <w:sectPr w:rsidR="001502D9" w:rsidRPr="001502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14B7C"/>
    <w:multiLevelType w:val="hybridMultilevel"/>
    <w:tmpl w:val="E6446C56"/>
    <w:lvl w:ilvl="0" w:tplc="2222BF8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D9"/>
    <w:rsid w:val="001502D9"/>
    <w:rsid w:val="00161917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02D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502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1502D9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16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619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02D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502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1502D9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16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61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Nd7L8zZMl1hzwNI9lz7CMaxhnt8F2lj5A6YtxpaySwk/viewfor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林繼富</dc:creator>
  <cp:lastModifiedBy>cspsuser</cp:lastModifiedBy>
  <cp:revision>2</cp:revision>
  <dcterms:created xsi:type="dcterms:W3CDTF">2016-06-21T01:30:00Z</dcterms:created>
  <dcterms:modified xsi:type="dcterms:W3CDTF">2016-06-21T01:30:00Z</dcterms:modified>
</cp:coreProperties>
</file>